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7E0" w:rsidRDefault="00DA07E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>
        <w:tc>
          <w:tcPr>
            <w:tcW w:w="14503" w:type="dxa"/>
            <w:gridSpan w:val="2"/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eastAsia="ru-RU"/>
              </w:rPr>
              <w:t xml:space="preserve">ФОРМА ЗАЯВКИ </w:t>
            </w:r>
          </w:p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на участие в конкурсе на предоставление грантов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Губернатора Челябинской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на развитие гражданского общества</w:t>
            </w:r>
          </w:p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14503" w:type="dxa"/>
            <w:gridSpan w:val="2"/>
            <w:shd w:val="clear" w:color="auto" w:fill="auto"/>
          </w:tcPr>
          <w:p w:rsidR="00DA07E0" w:rsidRDefault="00DA07E0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35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проекте</w:t>
            </w:r>
          </w:p>
          <w:p w:rsidR="00DA07E0" w:rsidRDefault="00DA07E0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color w:val="000000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:rsidR="00DA07E0" w:rsidRDefault="00DA07E0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:rsidR="00DA07E0" w:rsidRDefault="00DA07E0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Следует выбрать грантовое направление из списка: 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социальное обслуживание, социальная поддержка и защита граждан;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здоровья граждан, пропаганда здорового образа жизни; 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поддержка семьи, материнства, отцовства и детства;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 xml:space="preserve">от 12.01.1996 № 7-ФЗ «О некоммерческих организациях»; 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проектов в области науки, образования, просвещения; 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проектов в области культуры и искусства; 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сохранение исторической памяти; 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защита прав и свобод человека и гражданина, в том числе защита прав заключенных; 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окружающей среды и защита животных; 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укрепление межнационального и межрелигиозного согласия;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общественной дипломатии и поддержка соотечественников;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институтов гражданского общества.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случае регистрации заявки на срок более 16 месяцев следует выбрать направление с пометкой «долгосрочный проект»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поддержка проектов в области науки, образования, просвещения - долгосрочный проект;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защита прав и свобод человека и гражданина, в том числе защита прав заключенных- долгосрочный проект; 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развитие институтов гражданского общества - долгосрочный проект;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социальное обслуживание, социальная поддержка и защита граждан - долгосрочный проект;</w:t>
            </w:r>
          </w:p>
          <w:p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поддержка проектов в области науки, образования, просвещения - долгосрочный проект.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07E0" w:rsidRDefault="00FF2CC2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выбрать тематику грантового направления из списка (предварительно ознакомиться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со списком можно в пункте 4 Положения о конкурсе).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Название проекта, на реализацию которого запрашивается грант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Краткое описание проекта (деятельности в рамках проекта)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*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Для экспертов, оценивающих заявку, это поле должно содержать емкий и исчерпывающий ответ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PDF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поле 7.1.</w:t>
            </w:r>
          </w:p>
        </w:tc>
      </w:tr>
    </w:tbl>
    <w:p w:rsidR="00DA07E0" w:rsidRDefault="00FF2CC2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География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Следует указать территорию реализации проекта (один и (или) несколько муниципальных образований Челябинской области или Челябинскую область в целом, если проект не направлен на развитие общественной дипломатии и поддержки соотечественников). В случае если в уставе организации указана конкретная территория ее деятельности, такое ограничение должно быть учтено при определении географии проекта.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Дата начала реализации проекта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Дата окончания реализации проекта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Обоснование социальной значимости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5000 символов)</w:t>
                  </w: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Рекомендуем придерживаться следующего плана: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:rsidR="00DA07E0" w:rsidRDefault="00DA07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7.1. Документы, подтверждающие актуальность проекта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загрузить более подробное описание проекта и (или) презентацию проекта.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прикрепить не более 5 файлов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Размер файла не должен быть больше 10 мегабайт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Формат файла только PDF.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Целевые группы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притом, что проект направлен только на школьников выпускных классов.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Целевая группа должна быть обозначена максимально конкретно.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 Как правило, основная целевая группа в проекте одна.</w:t>
            </w:r>
            <w:r>
              <w:rPr>
                <w:rFonts w:ascii="Arial" w:hAnsi="Arial" w:cs="Arial"/>
                <w:color w:val="282828"/>
                <w:sz w:val="18"/>
                <w:szCs w:val="18"/>
                <w:shd w:val="clear" w:color="auto" w:fill="FBF5EE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После ввода формулировки показателя необходимо нажать кнопку «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A07E0" w:rsidRDefault="00FF2CC2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Цель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«О проекте»).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Как правило, у проекта одна цель, которую возможно достичь, решив несколько задач. Если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проекта несколько целей, следует указать каждую из них в отдельном поле.</w:t>
            </w:r>
          </w:p>
          <w:p w:rsidR="00DA07E0" w:rsidRDefault="00FF2C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8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Задачи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A07E0" w:rsidRDefault="00DA07E0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 7,8 раздела «О проекте»). Как правило, задачами проекта являются шаги по устранению выявленных причин.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9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каждая задача помещается в отдельное поле, (без указания порядкового номера), при необходимости можно увеличить количество полей. Для того чтобы удалить задачу необходимо сначала удалить мероприятия в календарном плане, соответствующие данной задаче).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Партнеры проекта</w:t>
            </w:r>
          </w:p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8"/>
              <w:gridCol w:w="4399"/>
            </w:tblGrid>
            <w:tr w:rsidR="00DA07E0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Партнер</w:t>
                  </w: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поддержки</w:t>
                  </w:r>
                </w:p>
              </w:tc>
            </w:tr>
            <w:tr w:rsidR="00DA07E0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:rsidR="00DA07E0" w:rsidRDefault="00FF2CC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выбрать вид поддержки из списка или ввести свой вариант.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11.1 Письма поддержки, соглашения о сотрудничестве и иные аналогичные документы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Прикрепляются по желанию заявителя на портале </w:t>
            </w:r>
            <w:hyperlink r:id="rId10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сканы документов (писем, соглашений и др.), содержащих информацию о роли и конкретных формах участия ключевых партнёров (из перечисленных в пункте 11) в реализации проекта. Всего можно прикрепить не более 5 файлов. Размер файла не должен быть больше 10 мегабайт. Формат файла только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Как будет организовано информационное сопровождение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Количественные результаты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82"/>
              <w:gridCol w:w="2805"/>
            </w:tblGrid>
            <w:tr w:rsidR="00DA07E0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DA07E0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принявших участие в мероприятиях проекта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благотворительную помощь в натуральной форме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социального обслуживания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образования, просвещения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здравоохранения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культуры и искусства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количество человек, которым оказаны услуги в сфере физической культуры и спорта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иных сферах некоммерческой деятельности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безвозмездной основе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льготной основе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некоммерческих неправительственных организаций, получивших поддержку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каждой из целевых групп (п. 8 раздела «О проекте»)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(по всем мероприятиям).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11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представлены типовые варианты таких показателей и реализована возможность ввода своих вариантов). После ввода формулировки показателя необходимо нажать кнопку «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Качественные результаты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 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Дальнейшее развитие проекта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Источники ресурсного обеспечения проекта в дальнейшем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17. Видео о проекте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не обязательно для заполнения. 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 наличии видеоматериалов о проекте Вы можете указать ссылку. 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указать до 3 ссылок. По желанию заявителя можно добавить описание к прилагаемым ссылкам.</w:t>
            </w:r>
          </w:p>
        </w:tc>
      </w:tr>
    </w:tbl>
    <w:p w:rsidR="00DA07E0" w:rsidRDefault="00FF2CC2">
      <w:r>
        <w:br w:type="page"/>
      </w:r>
    </w:p>
    <w:p w:rsidR="00DA07E0" w:rsidRDefault="00DA07E0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>
        <w:tc>
          <w:tcPr>
            <w:tcW w:w="14503" w:type="dxa"/>
            <w:gridSpan w:val="2"/>
            <w:shd w:val="clear" w:color="auto" w:fill="auto"/>
          </w:tcPr>
          <w:p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42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  <w:p w:rsidR="00DA07E0" w:rsidRDefault="00DA07E0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Заполните анкету руководителя одним из двух способов. Способ 1: автоматически — с помощью привязки аккаунта руководителя на </w:t>
            </w:r>
            <w:hyperlink r:id="rId12" w:tooltip="https://www.sozidateli.ru/" w:history="1">
              <w:r>
                <w:rPr>
                  <w:rStyle w:val="InternetLink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портале «Созидатели»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A07E0" w:rsidRDefault="00FF2CC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2: заполните анкету вручную.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1. Должность руководителя проекта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в организации-заявителе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rPr>
                <w:trHeight w:val="339"/>
              </w:trPr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Введите должность руководителя проекта в организации-заявителе.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руководителя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DA07E0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DA07E0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фамилию, имя и отчество руководителя проекта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2.1 Добавить фотографию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Необходимо загрузить фотографию. Размер файла не должен быть больше 10 мегабайт. Формат файла: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jpg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ng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tiff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Дата рождения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Электронная почта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Рабочий телефон руководителя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Мобильный телефон руководителя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Введите рабочий телефон.</w:t>
            </w: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</w:tbl>
    <w:p w:rsidR="00DA07E0" w:rsidRDefault="00FF2CC2">
      <w:pPr>
        <w:tabs>
          <w:tab w:val="left" w:pos="5475"/>
        </w:tabs>
      </w:pPr>
      <w:r>
        <w:tab/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Введите мобильный телефон.</w:t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Образование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общее</w:t>
                  </w:r>
                </w:p>
                <w:p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профессиональное</w:t>
                  </w:r>
                </w:p>
                <w:p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незаконченное высшее</w:t>
                  </w:r>
                </w:p>
                <w:p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высшее</w:t>
                  </w:r>
                </w:p>
                <w:p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более одного высшего</w:t>
                  </w:r>
                </w:p>
                <w:p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есть ученая степень</w:t>
                  </w: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Введите образование.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8. Образовательные организации и специальности 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66"/>
              <w:gridCol w:w="1867"/>
              <w:gridCol w:w="1329"/>
              <w:gridCol w:w="1671"/>
              <w:gridCol w:w="1559"/>
            </w:tblGrid>
            <w:tr w:rsidR="00DA07E0">
              <w:trPr>
                <w:trHeight w:val="218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Образовательная организация</w:t>
                  </w:r>
                </w:p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Научная степень и специализация</w:t>
                  </w:r>
                </w:p>
              </w:tc>
            </w:tr>
            <w:tr w:rsidR="00DA07E0">
              <w:trPr>
                <w:trHeight w:val="217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rPr>
                <w:trHeight w:val="201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rPr>
                <w:trHeight w:val="210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указать информацию об образовании (не более 5 образовательных организаций. 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Опыт работы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10 последних мест работы руководителя. При отсутствии опыта работы указать «нет опыта».</w:t>
            </w:r>
          </w:p>
        </w:tc>
      </w:tr>
    </w:tbl>
    <w:p w:rsidR="00DA07E0" w:rsidRDefault="00FF2CC2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Опыт реализации социально значимых проектов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«нет опыта».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Дополнительные сведения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Рекомендации, письма, отзывы, характеристики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в этом поле можно загрузить файлы в формате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jpeg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png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tiff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Максимальное количество файлов — 5 штук. Максимальный размер файла — 30 Мб.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Ссылки на профиль в социальных сетях</w:t>
            </w:r>
          </w:p>
        </w:tc>
        <w:tc>
          <w:tcPr>
            <w:tcW w:w="9008" w:type="dxa"/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указать ссылки на профили в социальных сетях (не более 5 ссылок).</w:t>
            </w:r>
          </w:p>
        </w:tc>
      </w:tr>
    </w:tbl>
    <w:p w:rsidR="00DA07E0" w:rsidRDefault="00FF2CC2">
      <w:r>
        <w:br w:type="page"/>
      </w:r>
    </w:p>
    <w:p w:rsidR="00DA07E0" w:rsidRDefault="00DA07E0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DA07E0">
        <w:tc>
          <w:tcPr>
            <w:tcW w:w="14503" w:type="dxa"/>
            <w:gridSpan w:val="2"/>
            <w:shd w:val="clear" w:color="auto" w:fill="auto"/>
          </w:tcPr>
          <w:p w:rsidR="00DA07E0" w:rsidRDefault="00FF2CC2">
            <w:pPr>
              <w:pStyle w:val="a3"/>
              <w:keepLines/>
              <w:numPr>
                <w:ilvl w:val="0"/>
                <w:numId w:val="4"/>
              </w:numPr>
              <w:spacing w:after="0" w:line="240" w:lineRule="auto"/>
              <w:ind w:left="426" w:hanging="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Команда проекта</w:t>
            </w:r>
          </w:p>
          <w:p w:rsidR="00DA07E0" w:rsidRDefault="00DA07E0">
            <w:pPr>
              <w:pStyle w:val="a3"/>
              <w:keepLines/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Заполните анкету члена команды одним из двух способов. Способ 1: автоматически — с помощью привязки аккаунта руководителя на </w:t>
            </w:r>
            <w:hyperlink r:id="rId13" w:tooltip="https://www.sozidateli.ru/" w:history="1">
              <w:r>
                <w:rPr>
                  <w:rStyle w:val="InternetLink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портале «Созидатели»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Способ 2: заполните анкету вручную.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данном разделе следует заполнить нижеприведенную форму на каждого ключевого члена команды проекта. 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Как правило, указывается 5-7 ключевых членов команды. Всего можно добавить до 15 членов команды.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Должность или роль в заявленном проекте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члена команды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DA07E0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DA07E0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Образование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профессиональное</w:t>
                  </w:r>
                </w:p>
                <w:p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незаконченное высшее</w:t>
                  </w:r>
                </w:p>
                <w:p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высшее</w:t>
                  </w:r>
                </w:p>
                <w:p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более одного высшего</w:t>
                  </w:r>
                </w:p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есть ученая степень</w:t>
                  </w:r>
                </w:p>
              </w:tc>
            </w:tr>
          </w:tbl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>
              <w:rPr>
                <w:rFonts w:ascii="Arial" w:hAnsi="Arial" w:cs="Arial"/>
                <w:color w:val="282828"/>
                <w:sz w:val="18"/>
                <w:szCs w:val="18"/>
                <w:shd w:val="clear" w:color="auto" w:fill="FBF5EE"/>
              </w:rPr>
              <w:t xml:space="preserve"> 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Введите образование.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Образовательные организации и специальности 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1861"/>
              <w:gridCol w:w="1463"/>
              <w:gridCol w:w="1735"/>
              <w:gridCol w:w="1495"/>
            </w:tblGrid>
            <w:tr w:rsidR="00DA07E0">
              <w:trPr>
                <w:trHeight w:val="218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Научная степень и специализация</w:t>
                  </w:r>
                </w:p>
              </w:tc>
            </w:tr>
            <w:tr w:rsidR="00DA07E0">
              <w:trPr>
                <w:trHeight w:val="217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rPr>
                <w:trHeight w:val="210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>
              <w:t xml:space="preserve"> 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Опыт работы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последних мест работы члена команды. При отсутствии опыта работы указать «отсутствует».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Опыт реализации социально значимых проектов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«отсутствует».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rPr>
          <w:trHeight w:val="2111"/>
        </w:trPr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Дополнительные сведения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Ссылка на профиль в социальных сетях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указать ссылки на профили в социальных сетях (не более 5 ссылок).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Рекомендации, письма, отзывы, характеристики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загрузить до 5 документов и(или) файлов, отражающих публичную или экспертную оценку компетенций члена команды проекта. Размер файла не должен быть больше 10 мегабайт Формат файла: только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jpeg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png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tiff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07E0" w:rsidRDefault="00DA07E0"/>
    <w:p w:rsidR="00DA07E0" w:rsidRDefault="00FF2CC2">
      <w:r>
        <w:br w:type="page"/>
      </w:r>
    </w:p>
    <w:p w:rsidR="00DA07E0" w:rsidRDefault="00DA07E0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>
        <w:tc>
          <w:tcPr>
            <w:tcW w:w="14503" w:type="dxa"/>
            <w:gridSpan w:val="2"/>
            <w:shd w:val="clear" w:color="auto" w:fill="auto"/>
          </w:tcPr>
          <w:p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Организация-заявитель</w:t>
            </w:r>
          </w:p>
          <w:p w:rsidR="00DA07E0" w:rsidRDefault="00DA07E0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ОГРН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hyperlink r:id="rId14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 xml:space="preserve">грантыгубернатора74.рф 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Вместо ОГРН можно ввести ИНН в поле 2.</w:t>
            </w:r>
          </w:p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FF2CC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1.1 Сведения из ЕГРЮЛ</w:t>
            </w:r>
          </w:p>
        </w:tc>
        <w:tc>
          <w:tcPr>
            <w:tcW w:w="9008" w:type="dxa"/>
            <w:shd w:val="clear" w:color="auto" w:fill="auto"/>
          </w:tcPr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Сведения о юридическом лице из единого государственного реестра юридических лиц включаются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и убедиться в корректности представленных сведений.</w:t>
            </w: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Поля, которые автоматически заполнены сведениями из ЕГРЮЛ, выделяются зеленой рамкой.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автозаполненных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данных» в поле 1 или 2. После этого можно будет редактировать автоматически заполненные поля 3, 4, 5, 6 и 7. Данные поля будут выделены красной рамкой. В случае некорректного исправления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автозаполненных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данных заявка на участие в конкурсе не будет допущена до независимой экспертизы.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данных», даже если перенесенные старой заявки данные верны.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ИНН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КПП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Дата регистрации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дату регистрации организации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Полное наименование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полное наименование организации в точном соответствии с ее уставом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Сокращенное наименование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сокращенное наименование организации (если имеется) в точном соответствии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 ее уставом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Адрес (место нахождения)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:rsidR="00DA07E0" w:rsidRDefault="00FF2CC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организации, указанный в едином государственном реестре юридических лиц (юридический адрес)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Фактическое место нахождения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фактический адрес организации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Адрес для направления организации юридически значимых сообщений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Руководитель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DA07E0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DA07E0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Дата рождения руководителя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Файл устава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hyperlink r:id="rId15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 xml:space="preserve">грантыгубернатора74.рф 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необходимо загрузить файл в формате PDF.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Размер файлов не больше 10 мегабайт. 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объемом не более 28 Мб. (не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допускаeтся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частичное сканирование устава).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Информация о наличии лиц, имеющих право подписи без доверенности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Информация о наличии коллегиального органа управления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Главный бухгалтер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главного бухгалтера организации</w:t>
                  </w:r>
                </w:p>
                <w:p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 организации принял ведение бухгалтерского учета на себя</w:t>
                  </w:r>
                </w:p>
                <w:p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другого работника организации</w:t>
                  </w:r>
                </w:p>
                <w:p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другой организации</w:t>
                  </w:r>
                </w:p>
                <w:p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индивидуальному предпринимателю</w:t>
                  </w:r>
                </w:p>
                <w:p w:rsidR="00DA07E0" w:rsidRDefault="00FF2CC2">
                  <w:pPr>
                    <w:spacing w:after="0" w:line="240" w:lineRule="auto"/>
                    <w:ind w:left="4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– ведение бухгалтерского учета передано по договору физическому лицу</w:t>
                  </w: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</w:tbl>
    <w:p w:rsidR="00DA07E0" w:rsidRDefault="00FF2CC2">
      <w:r>
        <w:br w:type="page"/>
      </w:r>
    </w:p>
    <w:tbl>
      <w:tblPr>
        <w:tblW w:w="14513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9018"/>
      </w:tblGrid>
      <w:tr w:rsidR="00DA07E0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Контактный телефон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17. Адрес электронной почты для внешних коммуникаций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A07E0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Основные виды деятельности организации</w:t>
            </w: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антикоррупционная деятельность, включая формирование в обществе нетерпимости к коррупционному поведению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благотворительная деятельность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добровольчества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культуры, искусства,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науки,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образования, просвещения,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улучшения морально-психологического состояния граждан, содействие духовному развитию личности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физической культуры и спорта,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сфере патриотического, в том числе военно-патриотического, воспитания граждан Российской Федерации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медицинская и социальная реабилитация, социальная и трудовая реинтеграция лиц, </w:t>
                  </w:r>
                </w:p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осуществляющих незаконное потребление наркотических средств или психотропных веществ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помощи пострадавшим в результате социальных, национальных, религиозных конфликтов, беженцам и вынужденным переселенцам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помощи пострадавшим в результате стихийных бедствий, экологических, техногенных или иных катастроф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юридической помощи на безвозмездной или на льготной основе некоммерческим организациям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охрана и содержание объектов и территорий, имеющих историческое, культовое, культурное или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природоохранное значение, и мест захоронений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охрана окружающей среды и защита животных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поддержка общественно значимых молодежных инициатив, проектов, детского и молодежного движения, детских и молодежных организаций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развитие межнационального сотрудничества, сохранение и защита самобытности, культуры, языков и традиций народов Российской Федерации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содействие благотворительности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содействие повышению мобильности трудовых ресурсов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социальная и культурная адаптация и интеграция мигрантов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социальное обслуживание, социальная поддержка и защита граждан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увековечение памяти жертв политических репрессий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участие в профилактике и (или) тушении пожаров и проведении аварийно-спасательных работ</w:t>
                  </w: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желанию заявителя выбрать один или несколько вариантов из списка и(или) вписать свой вариант вида деятельности. После ввода формулировки показателя необходимо нажать кнопку «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</w:tc>
      </w:tr>
      <w:tr w:rsidR="00DA07E0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19. Целевые группы, опыт работы с которыми имеет организация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алко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и наркозависимые, а также лица, страдающие от иных видов тяжелых зависимостей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беженцы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без определенного места жительства 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ветераны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дети и подростки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женщины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содержащиеся в местах лишения свободы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мигранты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многодетные семьи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люди с ограниченными возможностями здоровья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молодежь и студенты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пенсионеры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дети-сироты и дети, оставшиеся без попечения родителей 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попавшие в трудную жизненную ситуацию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онкобольные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с тяжелыми заболеваниями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насилия 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катастроф и чрезвычайных ситуаций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участвующие в профилактике и решении проблем окружающей среды</w:t>
                  </w:r>
                </w:p>
                <w:p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свой вариант: ___________________________________________________________</w:t>
                  </w:r>
                </w:p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желанию заявителя выбрать один или несколько вариантов из списка и(или) вписать свой вариант целевой группы. После ввода формулировки показателя необходимо нажать кнопку «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</w:tc>
      </w:tr>
      <w:tr w:rsidR="00DA07E0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20. Дополнительные документы об организации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r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грантыгубернатора74.рф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загрузить до 5 файлов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формате PDF, отражающих дополнительную информацию об организации (отзывы, дипломы, награды организации и иные дополнительные документы, необходимые для участия в конкурсе). Размер файлов не больше 10 мегабайт. </w:t>
            </w:r>
          </w:p>
        </w:tc>
      </w:tr>
      <w:tr w:rsidR="00DA07E0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 География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21.1 Муниципальное образование, на территории которого зарегистрирована данная некоммерческая организация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территории, на которых осуществлялась деятельность организации (один и (или) несколько муниципальных образований Челябинской области или Челябинскую область в целом, если не направлена на развитие общественной дипломатии и поддержки соотечественников).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6" w:tooltip="https://pravmin.gov74.ru/prav/chelyabinskaya-oblast/administrativnoe-delenie/agapov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Агаповский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7" w:tooltip="https://pravmin.gov74.ru/prav/chelyabinskaya-oblast/administrativnoe-delenie/argayash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Аргаяшский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8" w:tooltip="https://pravmin.gov74.ru/prav/chelyabinskaya-oblast/administrativnoe-delenie/ashinskiy_rayon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Ашинский муниципальный район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9" w:tooltip="https://pravmin.gov74.ru/prav/chelyabinskaya-oblast/administrativnoe-delenie/bredin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Брединский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0" w:tooltip="https://pravmin.gov74.ru/prav/chelyabinskaya-oblast/administrativnoe-delenie/varnen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Варненский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FF2CC2">
                    <w:rPr>
                      <w:color w:val="000000"/>
                      <w:sz w:val="23"/>
                      <w:szCs w:val="23"/>
                    </w:rPr>
                    <w:br/>
                  </w:r>
                  <w:hyperlink r:id="rId21" w:tooltip="https://pravmin.gov74.ru/prav/chelyabinskaya-oblast/administrativnoe-delenie/verhneuralskiy_rayon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Верхнеуральский муниципальный район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2" w:tooltip="https://pravmin.gov74.ru/prav/chelyabinskaya-oblast/administrativnoe-delenie/verhneufaleyskiy-gorodskoy-okrug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Верхнеуфалейский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3" w:tooltip="https://pravmin.gov74.ru/prav/chelyabinskaya-oblast/administrativnoe-delenie/emenzhelin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Еманжелинский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4" w:tooltip="https://pravmin.gov74.ru/prav/chelyabinskaya-oblast/administrativnoe-delenie/etkul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Еткульский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5" w:tooltip="https://pravmin.gov74.ru/prav/chelyabinskaya-oblast/administrativnoe-delenie/zlatoust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Златоустовский городской округ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6" w:tooltip="https://pravmin.gov74.ru/prav/chelyabinskaya-oblast/administrativnoe-delenie/karabash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Карабашский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7" w:tooltip="https://pravmin.gov74.ru/prav/chelyabinskaya-oblast/administrativnoe-delenie/kartalin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Карталинский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FF2CC2">
                    <w:rPr>
                      <w:color w:val="000000"/>
                      <w:sz w:val="23"/>
                      <w:szCs w:val="23"/>
                    </w:rPr>
                    <w:br/>
                  </w:r>
                  <w:hyperlink r:id="rId28" w:tooltip="https://pravmin.gov74.ru/prav/chelyabinskaya-oblast/administrativnoe-delenie/kaslin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Каслинский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9" w:tooltip="https://pravmin.gov74.ru/prav/chelyabinskaya-oblast/administrativnoe-delenie/katav-ivanovskiy_rayon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Катав-Ивановский муниципальный район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0" w:tooltip="https://pravmin.gov74.ru/prav/chelyabinskaya-oblast/administrativnoe-delenie/kizil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Кизильский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:rsidR="00DA07E0" w:rsidRDefault="009F0ED4">
                  <w:pPr>
                    <w:pStyle w:val="a3"/>
                    <w:spacing w:after="0"/>
                    <w:ind w:left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1" w:tooltip="https://pravmin.gov74.ru/prav/chelyabinskaya-oblast/administrativnoe-delenie/kopeyskiy-gorodskoy-okrug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Копейский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2" w:tooltip="https://pravmin.gov74.ru/prav/chelyabinskaya-oblast/administrativnoe-delenie/korkin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Коркинский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3" w:tooltip="https://pravmin.gov74.ru/prav/chelyabinskaya-oblast/administrativnoe-delenie/krasnoarmeyskiy_rayon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Красноармейский муниципальный район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4" w:tooltip="https://pravmin.gov74.ru/prav/chelyabinskaya-oblast/administrativnoe-delenie/kunashak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Кунашакский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:rsidR="00DA07E0" w:rsidRDefault="009F0ED4">
                  <w:pPr>
                    <w:pStyle w:val="a3"/>
                    <w:spacing w:after="0"/>
                    <w:ind w:left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5" w:tooltip="https://pravmin.gov74.ru/prav/chelyabinskaya-oblast/administrativnoe-delenie/kusinskiy_rayon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Кусинский муниципальный район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6" w:tooltip="https://pravmin.gov74.ru/prav/chelyabinskaya-oblast/administrativnoe-delenie/kyshtymskiy-gorodskoy-okrug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Кыштымский городской округ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7" w:tooltip="https://pravmin.gov74.ru/prav/chelyabinskaya-oblast/administrativnoe-delenie/lokomotivnyy-gorodskoy-okrug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Локомотивный городской округ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8" w:tooltip="https://pravmin.gov74.ru/prav/chelyabinskaya-oblast/administrativnoe-delenie/magnitogorsk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Магнитогорский городской округ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9" w:tooltip="https://pravmin.gov74.ru/prav/chelyabinskaya-oblast/administrativnoe-delenie/miasskiy-gorodskoy-okrug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Миасский городской округ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0" w:tooltip="https://pravmin.gov74.ru/prav/chelyabinskaya-oblast/administrativnoe-delenie/nagaybak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Нагайбакский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1" w:tooltip="https://pravmin.gov74.ru/prav/chelyabinskaya-oblast/administrativnoe-delenie/nyazepetrovskiy-municipalnyy-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Нязепетровский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2" w:tooltip="https://pravmin.gov74.ru/prav/chelyabinskaya-oblast/administrativnoe-delenie/ozerskiy-gorodskoy-okrug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Озерский городской округ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3" w:tooltip="https://pravmin.gov74.ru/prav/chelyabinskaya-oblast/administrativnoe-delenie/oktyabrskiy_rayon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Октябрьский муниципальный район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4" w:tooltip="https://pravmin.gov74.ru/prav/chelyabinskaya-oblast/administrativnoe-delenie/plastov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Пластовский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5" w:tooltip="https://pravmin.gov74.ru/prav/chelyabinskaya-oblast/administrativnoe-delenie/satkin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Саткинский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6" w:tooltip="https://pravmin.gov74.ru/prav/chelyabinskaya-oblast/administrativnoe-delenie/snezhinskiy-gorodskoy-okrug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Снежинский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7" w:tooltip="https://pravmin.gov74.ru/prav/chelyabinskaya-oblast/administrativnoe-delenie/sosnovskiy_rayon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Сосновский муниципальный район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8" w:tooltip="https://pravmin.gov74.ru/prav/chelyabinskaya-oblast/administrativnoe-delenie/trehgornyy-gorodskoy-okrug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Трехгорный городской округ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9" w:tooltip="https://pravmin.gov74.ru/prav/chelyabinskaya-oblast/administrativnoe-delenie/troickiy-gorodskoy-okrug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Троицкий городской округ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0" w:tooltip="https://pravmin.gov74.ru/prav/chelyabinskaya-oblast/administrativnoe-delenie/troickii_rayon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Троицкий муниципальный район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1" w:tooltip="https://pravmin.gov74.ru/prav/chelyabinskaya-oblast/administrativnoe-delenie/ust-katavskiy-gorodskoy-okrug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Усть-Катавский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2" w:tooltip="https://pravmin.gov74.ru/prav/chelyabinskaya-oblast/administrativnoe-delenie/uvelskiy_rayon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Увельский муниципальный район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3" w:tooltip="https://pravmin.gov74.ru/prav/chelyabinskaya-oblast/administrativnoe-delenie/uyskiy-municipalnyy-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Уйский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4" w:tooltip="https://pravmin.gov74.ru/prav/chelyabinskaya-oblast/administrativnoe-delenie/chebarkulskiy-gorodskoy-okrug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Чебаркульский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5" w:tooltip="https://pravmin.gov74.ru/prav/chelyabinskaya-oblast/administrativnoe-delenie/chebarkulskiy_rayon.htm" w:history="1">
                    <w:proofErr w:type="spellStart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Чебаркульский</w:t>
                    </w:r>
                    <w:proofErr w:type="spellEnd"/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6" w:tooltip="https://pravmin.gov74.ru/prav/chelyabinskaya-oblast/administrativnoe-delenie/chelyabinskiy-gorodskoy-okrug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Челябинский городской округ</w:t>
                    </w:r>
                  </w:hyperlink>
                  <w:r w:rsidR="00FF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hyperlink r:id="rId57" w:tooltip="https://pravmin.gov74.ru/prav/chelyabinskaya-oblast/administrativnoe-delenie/chesmenskiy_rayon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Чесменский муниципальный район</w:t>
                    </w:r>
                  </w:hyperlink>
                </w:p>
                <w:p w:rsidR="00DA07E0" w:rsidRDefault="009F0ED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8" w:tooltip="https://pravmin.gov74.ru/prav/chelyabinskaya-oblast/administrativnoe-delenie/yuzhnouralskiy-gorodskoy-okrug.htm" w:history="1">
                    <w:r w:rsidR="00FF2CC2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Южноуральский городской округ</w:t>
                    </w:r>
                  </w:hyperlink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</w:tc>
      </w:tr>
      <w:tr w:rsidR="00DA07E0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22. Адрес электронной почты для внешних коммуникаций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A07E0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23. Веб-сайт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A07E0" w:rsidRDefault="00DA07E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</w:tc>
      </w:tr>
      <w:tr w:rsidR="00DA07E0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24. Группы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соц.сетях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76717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Указать «Да» или «Нет»</w:t>
                  </w: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не менее одной ссылки на группу (страницу) организации в социальных сетях. Если ссылок несколько, они должны быть отделены друг от друга запятой и пробелом. Если организация не имеет ни одной группы (страницы) в социальных сетях, следует написать «нет».</w:t>
            </w:r>
          </w:p>
        </w:tc>
      </w:tr>
      <w:tr w:rsidR="00DA07E0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 Учредители организации - заявителя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юридических лиц - учредителей организации-заявителя.</w:t>
            </w:r>
          </w:p>
        </w:tc>
      </w:tr>
      <w:tr w:rsidR="00DA07E0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26. Учредители организации - заявителя</w:t>
            </w: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юридических лиц - учредителей организации-заявителя.</w:t>
            </w:r>
          </w:p>
        </w:tc>
      </w:tr>
    </w:tbl>
    <w:p w:rsidR="00DA07E0" w:rsidRDefault="00DA07E0">
      <w:pPr>
        <w:spacing w:after="0"/>
        <w:rPr>
          <w:vanish/>
        </w:rPr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5"/>
        <w:gridCol w:w="9018"/>
      </w:tblGrid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27. Обособленные структурные подразделения организации-заявителя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28. Участие (членство) в других некоммерческих организациях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поставить отметку, чтобы сообщить об участии (членстве)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других некоммерческих организациях и указать наименования и адреса таких организаций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29. Участие в коммерческих организациях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30. Количество членов (участников) организации: физических лиц, юридических лиц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31. Количество штатных работников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предыдущем календарном году, указать цифру 0 (ноль)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32. Количество добровольцев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Заполняется по желанию заявителя.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Можно указать количество добровольцев организации за календарный год, предшествовавший году подачи заявки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33. Доходы организации (в рублях) за предыдущий год, ввод числа без запятых и иных знаков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суммы доходов организации за предыдущий год (в рублях, без копеек).</w:t>
            </w:r>
          </w:p>
          <w:p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по каким-либо из приведенных подразделов доходов не было, следует указать цифру 0 (ноль).</w:t>
            </w:r>
          </w:p>
          <w:p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еще не была зарегистрирована в предыдущем календарном году,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цифры 0 (ноль) во всех строках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президентские гранты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взносы, пожертвования российских коммерческих организаций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вступительные, членские и иные взносы, пожертвования российских граждан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взносы, пожертвования иностранных организаций и иностранных граждан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федерального бюджета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бюджетов субъектов Российской Федерации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местных бюджетов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доходы (выручка) от реализации товаров, работ, услуг, имущественных прав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внереализационные доходы (дивиденды, проценты по депозитам и т. п.)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доходы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34. Общая сумма расходов организации за предыдущий год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общую сумму расходов организации за предыдущий год (в рублях, без копеек). Если организация еще не была зарегистрирована в предыдущем календарном году, указать цифру0 (ноль)</w:t>
            </w:r>
          </w:p>
        </w:tc>
      </w:tr>
      <w:tr w:rsidR="00DA07E0">
        <w:trPr>
          <w:trHeight w:val="1359"/>
        </w:trPr>
        <w:tc>
          <w:tcPr>
            <w:tcW w:w="5495" w:type="dxa"/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35. 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благополучателей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за предыдущий год (с января по декабрь): физические лица, юридические лица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количество граждан и (или) организаций, получивших безвозмездные блага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от организации-заявителя за календарный год, предшествующий году подачи заявки.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36. Основные реализованные проекты и программы за последние 5 лет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1031"/>
              <w:gridCol w:w="1641"/>
              <w:gridCol w:w="2475"/>
              <w:gridCol w:w="856"/>
              <w:gridCol w:w="1169"/>
              <w:gridCol w:w="1198"/>
            </w:tblGrid>
            <w:tr w:rsidR="00DA07E0">
              <w:tc>
                <w:tcPr>
                  <w:tcW w:w="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Название проекта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Объем финансирования (в руб.)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DA07E0">
              <w:tc>
                <w:tcPr>
                  <w:tcW w:w="4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1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грант от внебюджетных источников</w:t>
                  </w:r>
                </w:p>
                <w:p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иная субсидия из федерального бюджета</w:t>
                  </w:r>
                </w:p>
                <w:p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иной источник финансирования</w:t>
                  </w:r>
                </w:p>
                <w:p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президентский грант</w:t>
                  </w:r>
                </w:p>
                <w:p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местного бюджета</w:t>
                  </w:r>
                </w:p>
                <w:p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регионального бюджета</w:t>
                  </w:r>
                </w:p>
                <w:p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right="-106" w:firstLine="0"/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Минэкономразвития России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Необходимо указать сроки реализации таких программ и проектов, объем и источник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федерального бюджета; субсидия (грант) из регионального бюджета; субсидия (грант)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местного бюджета; грант от внебюджетных источников; иной источник финансирования,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за счет собственных средств. Сумму полученной поддержки на реализацию проекта следует указать в рублях, без копеек.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отсутствия таких проектов поставить отметку «отсутствуют»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37. Имеющиеся в распоряжении организации материально-технические ресурсы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Помещение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21"/>
              <w:gridCol w:w="4266"/>
            </w:tblGrid>
            <w:tr w:rsidR="00DA07E0"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Площадь,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DA07E0"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</w:t>
            </w: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DA07E0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07E0" w:rsidRDefault="00FF2CC2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Оборудование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07E0" w:rsidRDefault="00FF2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:rsidR="00DA07E0" w:rsidRDefault="00DA07E0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Другое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A07E0" w:rsidRDefault="00FF2CC2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Виды права использования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</w:pPr>
                </w:p>
                <w:p w:rsidR="00DA07E0" w:rsidRDefault="00FF2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:rsidR="00DA07E0" w:rsidRDefault="00DA07E0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</w:t>
                  </w:r>
                </w:p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безвозмездное пользование</w:t>
                  </w:r>
                </w:p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</w:t>
                  </w:r>
                </w:p>
                <w:p w:rsidR="00DA07E0" w:rsidRDefault="00FF2CC2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фактическое предоставление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A07E0" w:rsidRDefault="00DA07E0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5495" w:type="dxa"/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38. Публикации в СМИ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14503" w:type="dxa"/>
            <w:gridSpan w:val="2"/>
            <w:shd w:val="clear" w:color="auto" w:fill="auto"/>
          </w:tcPr>
          <w:p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Календарный план</w:t>
            </w:r>
          </w:p>
          <w:p w:rsidR="00DA07E0" w:rsidRDefault="00DA07E0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A07E0" w:rsidRDefault="00FF2CC2">
            <w:pPr>
              <w:pStyle w:val="3"/>
              <w:shd w:val="clear" w:color="auto" w:fill="FFFFFF"/>
              <w:spacing w:before="0" w:after="0" w:line="360" w:lineRule="atLeast"/>
              <w:jc w:val="center"/>
              <w:rPr>
                <w:b w:val="0"/>
                <w:bCs/>
                <w:color w:val="000000"/>
                <w:lang w:val="ru-RU"/>
              </w:rPr>
            </w:pPr>
            <w:r>
              <w:rPr>
                <w:b w:val="0"/>
                <w:bCs/>
                <w:color w:val="000000"/>
                <w:lang w:val="ru-RU"/>
              </w:rPr>
              <w:t>План подготовки и реализации проекта</w:t>
            </w:r>
          </w:p>
          <w:p w:rsidR="00DA07E0" w:rsidRDefault="00FF2CC2">
            <w:pPr>
              <w:pStyle w:val="aff0"/>
              <w:shd w:val="clear" w:color="auto" w:fill="FFFFFF"/>
              <w:spacing w:before="0" w:after="0" w:line="336" w:lineRule="atLeast"/>
              <w:jc w:val="both"/>
            </w:pPr>
            <w:r>
              <w:rPr>
                <w:i/>
                <w:color w:val="000000"/>
                <w:sz w:val="20"/>
                <w:szCs w:val="20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:rsidR="00DA07E0" w:rsidRDefault="00FF2CC2">
            <w:pPr>
              <w:pStyle w:val="aff0"/>
              <w:shd w:val="clear" w:color="auto" w:fill="FFFFFF"/>
              <w:spacing w:before="0" w:after="0" w:line="336" w:lineRule="atLeast"/>
              <w:jc w:val="both"/>
            </w:pPr>
            <w:r>
              <w:rPr>
                <w:i/>
                <w:color w:val="000000"/>
                <w:sz w:val="20"/>
                <w:szCs w:val="20"/>
              </w:rPr>
              <w:t>В каждом мероприятии должны быть:</w:t>
            </w:r>
          </w:p>
          <w:p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Содержание и место проведения — подробная информация о том, что именно будет происходить, 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какои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целевои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Важно указать на целесообразность либо на нерациональность размещения сведений о мероприятии на наших информационных ресурсах.</w:t>
            </w:r>
          </w:p>
          <w:p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  <w:p w:rsidR="00DA07E0" w:rsidRDefault="00DA07E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DA07E0">
        <w:trPr>
          <w:trHeight w:val="848"/>
        </w:trPr>
        <w:tc>
          <w:tcPr>
            <w:tcW w:w="14503" w:type="dxa"/>
            <w:gridSpan w:val="2"/>
            <w:shd w:val="clear" w:color="auto" w:fill="auto"/>
          </w:tcPr>
          <w:tbl>
            <w:tblPr>
              <w:tblW w:w="14272" w:type="dxa"/>
              <w:tblLook w:val="04A0" w:firstRow="1" w:lastRow="0" w:firstColumn="1" w:lastColumn="0" w:noHBand="0" w:noVBand="1"/>
            </w:tblPr>
            <w:tblGrid>
              <w:gridCol w:w="7126"/>
              <w:gridCol w:w="7146"/>
            </w:tblGrid>
            <w:tr w:rsidR="00DA07E0">
              <w:tc>
                <w:tcPr>
                  <w:tcW w:w="7136" w:type="dxa"/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lastRenderedPageBreak/>
                    <w:t>Дата начала реализации проекта</w:t>
                  </w:r>
                </w:p>
                <w:p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DA07E0"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A07E0" w:rsidRDefault="00FF2CC2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:rsidR="00DA07E0" w:rsidRDefault="00FF2CC2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Реализация проекта за счёт гранта должна начинаться не ранее </w:t>
                  </w:r>
                  <w:r w:rsidR="0028660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.</w:t>
                  </w:r>
                  <w:r w:rsidR="0028660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02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.202</w:t>
                  </w:r>
                  <w:r w:rsidR="0028660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A07E0">
              <w:tc>
                <w:tcPr>
                  <w:tcW w:w="7136" w:type="dxa"/>
                  <w:shd w:val="clear" w:color="auto" w:fill="auto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окончания реализации проекта</w:t>
                  </w:r>
                </w:p>
              </w:tc>
              <w:tc>
                <w:tcPr>
                  <w:tcW w:w="713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DA07E0">
                    <w:trPr>
                      <w:trHeight w:val="228"/>
                    </w:trPr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A07E0" w:rsidRDefault="00FF2CC2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:rsidR="00DA07E0" w:rsidRDefault="00FF2CC2">
                  <w:pPr>
                    <w:keepLines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Реализация проекта за счёт гранта должна завершиться не позднее </w:t>
                  </w:r>
                  <w:r w:rsidR="0028660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.</w:t>
                  </w:r>
                  <w:r w:rsidR="0028660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2.202</w:t>
                  </w:r>
                  <w:r w:rsidR="0028660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3</w:t>
                  </w:r>
                  <w:bookmarkStart w:id="0" w:name="_GoBack"/>
                  <w:bookmarkEnd w:id="0"/>
                </w:p>
                <w:p w:rsidR="00DA07E0" w:rsidRDefault="00DA07E0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A07E0" w:rsidRDefault="00DA07E0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>
              <w:trPr>
                <w:trHeight w:val="253"/>
              </w:trPr>
              <w:tc>
                <w:tcPr>
                  <w:tcW w:w="7136" w:type="dxa"/>
                  <w:vMerge w:val="restart"/>
                  <w:shd w:val="clear" w:color="FFFFFF" w:fill="FFFFFF"/>
                </w:tcPr>
                <w:p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окончания реализации долгосрочного проекта</w:t>
                  </w:r>
                </w:p>
              </w:tc>
              <w:tc>
                <w:tcPr>
                  <w:tcW w:w="7136" w:type="dxa"/>
                  <w:vMerge w:val="restart"/>
                  <w:shd w:val="clear" w:color="FFFFFF" w:fill="FFFFFF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DA07E0">
                    <w:trPr>
                      <w:trHeight w:val="228"/>
                    </w:trPr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</w:tcPr>
                      <w:p w:rsidR="00DA07E0" w:rsidRDefault="00FF2CC2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:rsidR="00DA07E0" w:rsidRDefault="00FF2CC2">
                  <w:pPr>
                    <w:keepLines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Реализация проекта за счёт гранта должна завершиться не позднее 10.04.2024*</w:t>
                  </w: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*В случае реализации проектов более 16 месяцев по направлениям «социальное обслуживание, социальная поддержка и защита граждан», «защита прав и свобод человека и гражданина, в том числе защита прав заключенных», «охрана здоровья граждан, пропаганда здорового образа жизни», «поддержка проектов в области науки, образования, просвещения», и «развитие институтов гражданского общества» необходимо указать «проект долгосрочный».</w:t>
            </w:r>
          </w:p>
          <w:tbl>
            <w:tblPr>
              <w:tblW w:w="14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0"/>
              <w:gridCol w:w="2072"/>
              <w:gridCol w:w="2616"/>
              <w:gridCol w:w="3000"/>
              <w:gridCol w:w="1471"/>
              <w:gridCol w:w="1610"/>
              <w:gridCol w:w="2788"/>
            </w:tblGrid>
            <w:tr w:rsidR="00DA07E0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Решаемая задача*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Целесообразно ли размещение сведений о мероприятии на наших информационных ресурсах?</w:t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Мероприятие, его содержание, место проведения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Дата </w:t>
                  </w:r>
                </w:p>
                <w:p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начала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</w:p>
                <w:p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окончания 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A07E0" w:rsidRDefault="00FF2CC2">
                  <w:pPr>
                    <w:keepLines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Ожидаемые результаты </w:t>
                  </w:r>
                </w:p>
              </w:tc>
            </w:tr>
            <w:tr w:rsidR="00DA07E0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*Задачи переносятся из (п. 10 раздела «О проекте»). Указание в календарном плане иных задач, помимо указанных ранее в разделе «О проекте», не допускается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>
        <w:tc>
          <w:tcPr>
            <w:tcW w:w="14503" w:type="dxa"/>
            <w:gridSpan w:val="2"/>
            <w:shd w:val="clear" w:color="auto" w:fill="auto"/>
          </w:tcPr>
          <w:p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Бюджет проекта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Рекомендуется до заполнения бюджета проекта на портале </w:t>
            </w:r>
            <w:hyperlink r:id="rId59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осуществлять его проектирование 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или аналогичных программах. Ниже приведена примерная форма итоговой таблицы.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07E0" w:rsidRDefault="00DA07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579" w:type="dxa"/>
        <w:tblInd w:w="-118" w:type="dxa"/>
        <w:tblBorders>
          <w:top w:val="single" w:sz="8" w:space="0" w:color="000000"/>
          <w:left w:val="single" w:sz="8" w:space="0" w:color="000000"/>
        </w:tblBorders>
        <w:tblLook w:val="04A0" w:firstRow="1" w:lastRow="0" w:firstColumn="1" w:lastColumn="0" w:noHBand="0" w:noVBand="1"/>
      </w:tblPr>
      <w:tblGrid>
        <w:gridCol w:w="516"/>
        <w:gridCol w:w="4327"/>
        <w:gridCol w:w="1933"/>
        <w:gridCol w:w="1627"/>
        <w:gridCol w:w="1383"/>
        <w:gridCol w:w="1987"/>
        <w:gridCol w:w="1674"/>
        <w:gridCol w:w="2132"/>
      </w:tblGrid>
      <w:tr w:rsidR="00DA07E0">
        <w:trPr>
          <w:trHeight w:val="160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96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(если имеется)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Комментарий/ Примечание</w:t>
            </w:r>
          </w:p>
        </w:tc>
      </w:tr>
      <w:tr w:rsidR="00DA07E0">
        <w:trPr>
          <w:trHeight w:val="320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A07E0" w:rsidRDefault="00DA07E0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07E0" w:rsidRDefault="00DA07E0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Оплата труда 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штатных работников, включая НДФЛ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Заработная плата в месяц (в рублях, включая НДФЛ)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месяцев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(не более 16* месяцев)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 (за весь период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Кратко описать основной функционал работника</w:t>
            </w: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26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включая НДФЛ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Вознаграждение по одному договору (в рублях, включая НДФЛ)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договоров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(в шт.)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 (за весь период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Кратко описать назначение заказываемых услуг (работ)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в привязке к конкретным задачам проекта, рекомендуется сделать детальный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lastRenderedPageBreak/>
              <w:t>расчет с обоснованием стоимости услуг специалистов</w:t>
            </w:r>
          </w:p>
        </w:tc>
      </w:tr>
      <w:tr w:rsidR="00DA07E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Страховые взносы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сумма (в рублях)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по оплате труда штатных сотрудников</w:t>
            </w:r>
          </w:p>
        </w:tc>
      </w:tr>
      <w:tr w:rsidR="00DA07E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c выплат физическим лицам по гражданско-правовым договорам</w:t>
            </w:r>
          </w:p>
        </w:tc>
      </w:tr>
      <w:tr w:rsidR="00DA07E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Расходы на одного работника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Количество работников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(по всем командируемым,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данной командировки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в контексте решения конкретных задач проекта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представить расчет.</w:t>
            </w:r>
          </w:p>
        </w:tc>
      </w:tr>
      <w:tr w:rsidR="00DA07E0">
        <w:trPr>
          <w:trHeight w:val="26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Обосновать необходимость в привязке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к проекту.</w:t>
            </w: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электронного документооборота 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invoicing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(ежемесячная оплата – 295 руб. в месяц. *Необходимо включить в бюджет, в случае если эта услуга не подключена или не оплачивается из средств гранта Фонда президентских грантов)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расчетного счета в ПАО «Сбербанк» (ежемесячная оплата – 990 руб. в месяц.</w:t>
            </w: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*Необходимо включить в бюджет, в случае если у Вас уже есть расчетный счет в ПАО «Сбербанк», специальный счет для гранта Фонда президентских грантов не учитывается)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Комиссия банка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(ежемесячная оплата – не менее 380 руб. в месяц.</w:t>
            </w:r>
          </w:p>
          <w:p w:rsidR="00DA07E0" w:rsidRPr="00286603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*Необходимо включить в бюджет, в случае оплаты более 3 платежных поручений в месяц)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Pr="00286603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№3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данного оборудования для решения задач проекта</w:t>
            </w: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№4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технические параметры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описать объем работы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месяц</w:t>
            </w: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№5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highlight w:val="green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highlight w:val="green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данных услуг для решения задач проекта</w:t>
            </w:r>
          </w:p>
        </w:tc>
      </w:tr>
      <w:tr w:rsidR="00DA07E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highlight w:val="green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№6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Указать, пояснить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обосновать для проведения каких мероприятий из календарного плана, принадлежат расходы.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№7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данных расходов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контексте решения конкретных задач проекта</w:t>
            </w: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№8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прямые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При необходимости пояснить назначение данных расходов в контексте решения конкретных задач проекта</w:t>
            </w: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№9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>
        <w:trPr>
          <w:trHeight w:val="23"/>
        </w:trPr>
        <w:tc>
          <w:tcPr>
            <w:tcW w:w="515" w:type="dxa"/>
            <w:shd w:val="clear" w:color="auto" w:fill="auto"/>
          </w:tcPr>
          <w:p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8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07E0" w:rsidRDefault="00FF2CC2">
      <w:pPr>
        <w:keepLines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В случае регистрации заявки по направлению с пометкой «долгосрочный проект» появится возможность указать количество месяцев до 30 шт. </w:t>
      </w:r>
    </w:p>
    <w:p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подаче заявки заявитель подтверждает (путем скачивания с портала </w:t>
      </w:r>
      <w:hyperlink r:id="rId60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согласие с условиями и порядком проведения конкурса на предоставление грантов Губернатора Челябинской области на развитие гражданского общества (далее – конкурс), которые определены положением о конкурсе, утвержденным приказом Фонда «Центр поддержки гражданских инициатив и развития некоммерческого сектора экономики Челябинской области»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размещенным на портале</w:t>
      </w:r>
      <w:r>
        <w:t xml:space="preserve"> </w:t>
      </w:r>
      <w:hyperlink r:id="rId61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портале</w:t>
      </w:r>
      <w:r>
        <w:t xml:space="preserve"> </w:t>
      </w:r>
      <w:hyperlink r:id="rId62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DA07E0" w:rsidRDefault="00FF2CC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63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информации, использование которой нарушает требования законодательства;</w:t>
      </w:r>
    </w:p>
    <w:p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установленном порядке, при отсутствии решения по соответствующему заявлению организации на дату подачи настоящей заявки),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размере, превышающем одну тысячу рублей.</w:t>
      </w:r>
    </w:p>
    <w:p w:rsidR="00DA07E0" w:rsidRDefault="00DA07E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DA07E0">
      <w:headerReference w:type="default" r:id="rId64"/>
      <w:footerReference w:type="default" r:id="rId65"/>
      <w:pgSz w:w="16838" w:h="11906" w:orient="landscape"/>
      <w:pgMar w:top="850" w:right="1134" w:bottom="1701" w:left="1134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ED4" w:rsidRDefault="009F0ED4">
      <w:pPr>
        <w:spacing w:after="0" w:line="240" w:lineRule="auto"/>
      </w:pPr>
      <w:r>
        <w:separator/>
      </w:r>
    </w:p>
  </w:endnote>
  <w:endnote w:type="continuationSeparator" w:id="0">
    <w:p w:rsidR="009F0ED4" w:rsidRDefault="009F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;calibri">
    <w:charset w:val="00"/>
    <w:family w:val="auto"/>
    <w:pitch w:val="default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7E0" w:rsidRDefault="00FF2CC2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56</w:t>
    </w:r>
    <w:r>
      <w:fldChar w:fldCharType="end"/>
    </w:r>
  </w:p>
  <w:p w:rsidR="00DA07E0" w:rsidRDefault="00DA07E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ED4" w:rsidRDefault="009F0ED4">
      <w:pPr>
        <w:spacing w:after="0" w:line="240" w:lineRule="auto"/>
      </w:pPr>
      <w:r>
        <w:separator/>
      </w:r>
    </w:p>
  </w:footnote>
  <w:footnote w:type="continuationSeparator" w:id="0">
    <w:p w:rsidR="009F0ED4" w:rsidRDefault="009F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7E0" w:rsidRDefault="00FF2CC2">
    <w:pPr>
      <w:pStyle w:val="ab"/>
      <w:jc w:val="both"/>
    </w:pPr>
    <w:r>
      <w:rPr>
        <w:rFonts w:ascii="Times New Roman" w:hAnsi="Times New Roman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</w:p>
  <w:p w:rsidR="00DA07E0" w:rsidRDefault="00FF2CC2">
    <w:pPr>
      <w:pStyle w:val="ab"/>
      <w:jc w:val="both"/>
    </w:pPr>
    <w:r>
      <w:rPr>
        <w:rFonts w:ascii="Times New Roman" w:hAnsi="Times New Roman"/>
      </w:rPr>
      <w:t>в конкурсе на портале грантыгубернатора74.рф.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B5E"/>
    <w:multiLevelType w:val="hybridMultilevel"/>
    <w:tmpl w:val="97425108"/>
    <w:lvl w:ilvl="0" w:tplc="2DB6FF68">
      <w:start w:val="1"/>
      <w:numFmt w:val="none"/>
      <w:suff w:val="nothing"/>
      <w:lvlText w:val=""/>
      <w:lvlJc w:val="left"/>
      <w:pPr>
        <w:ind w:left="0" w:firstLine="0"/>
      </w:pPr>
    </w:lvl>
    <w:lvl w:ilvl="1" w:tplc="ECB8D424">
      <w:start w:val="1"/>
      <w:numFmt w:val="none"/>
      <w:suff w:val="nothing"/>
      <w:lvlText w:val=""/>
      <w:lvlJc w:val="left"/>
      <w:pPr>
        <w:ind w:left="0" w:firstLine="0"/>
      </w:pPr>
    </w:lvl>
    <w:lvl w:ilvl="2" w:tplc="E9F88CAE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DC8D538">
      <w:start w:val="1"/>
      <w:numFmt w:val="none"/>
      <w:suff w:val="nothing"/>
      <w:lvlText w:val=""/>
      <w:lvlJc w:val="left"/>
      <w:pPr>
        <w:ind w:left="0" w:firstLine="0"/>
      </w:pPr>
    </w:lvl>
    <w:lvl w:ilvl="4" w:tplc="795659F2">
      <w:start w:val="1"/>
      <w:numFmt w:val="none"/>
      <w:suff w:val="nothing"/>
      <w:lvlText w:val=""/>
      <w:lvlJc w:val="left"/>
      <w:pPr>
        <w:ind w:left="0" w:firstLine="0"/>
      </w:pPr>
    </w:lvl>
    <w:lvl w:ilvl="5" w:tplc="F3580A32">
      <w:start w:val="1"/>
      <w:numFmt w:val="none"/>
      <w:suff w:val="nothing"/>
      <w:lvlText w:val=""/>
      <w:lvlJc w:val="left"/>
      <w:pPr>
        <w:ind w:left="0" w:firstLine="0"/>
      </w:pPr>
    </w:lvl>
    <w:lvl w:ilvl="6" w:tplc="875685CC">
      <w:start w:val="1"/>
      <w:numFmt w:val="none"/>
      <w:suff w:val="nothing"/>
      <w:lvlText w:val=""/>
      <w:lvlJc w:val="left"/>
      <w:pPr>
        <w:ind w:left="0" w:firstLine="0"/>
      </w:pPr>
    </w:lvl>
    <w:lvl w:ilvl="7" w:tplc="61A0BD42">
      <w:start w:val="1"/>
      <w:numFmt w:val="none"/>
      <w:suff w:val="nothing"/>
      <w:lvlText w:val=""/>
      <w:lvlJc w:val="left"/>
      <w:pPr>
        <w:ind w:left="0" w:firstLine="0"/>
      </w:pPr>
    </w:lvl>
    <w:lvl w:ilvl="8" w:tplc="015CA88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D1673D"/>
    <w:multiLevelType w:val="hybridMultilevel"/>
    <w:tmpl w:val="B246BD84"/>
    <w:lvl w:ilvl="0" w:tplc="1FA42EF4">
      <w:start w:val="1"/>
      <w:numFmt w:val="bullet"/>
      <w:lvlText w:val=""/>
      <w:lvlJc w:val="left"/>
      <w:pPr>
        <w:ind w:left="720" w:hanging="360"/>
      </w:pPr>
      <w:rPr>
        <w:rFonts w:cs="Symbol"/>
        <w:color w:val="808080"/>
        <w:sz w:val="20"/>
        <w:szCs w:val="20"/>
        <w:lang w:eastAsia="ru-RU"/>
      </w:rPr>
    </w:lvl>
    <w:lvl w:ilvl="1" w:tplc="97E81D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86E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8820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966A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4696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D4A6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787C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804B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1E05955"/>
    <w:multiLevelType w:val="hybridMultilevel"/>
    <w:tmpl w:val="D2F0D9AC"/>
    <w:lvl w:ilvl="0" w:tplc="486E3872">
      <w:start w:val="1"/>
      <w:numFmt w:val="bullet"/>
      <w:lvlText w:val="−"/>
      <w:lvlJc w:val="left"/>
      <w:pPr>
        <w:ind w:left="720" w:hanging="360"/>
      </w:pPr>
      <w:rPr>
        <w:rFonts w:cs="noto sans symbols;calibri"/>
        <w:color w:val="808080"/>
        <w:position w:val="0"/>
        <w:sz w:val="16"/>
        <w:szCs w:val="16"/>
        <w:vertAlign w:val="baseline"/>
        <w:lang w:eastAsia="ru-RU"/>
      </w:rPr>
    </w:lvl>
    <w:lvl w:ilvl="1" w:tplc="F20EB3A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DE640B4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4"/>
        <w:vertAlign w:val="baseline"/>
      </w:rPr>
    </w:lvl>
    <w:lvl w:ilvl="3" w:tplc="C14C039C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4"/>
        <w:vertAlign w:val="baseline"/>
      </w:rPr>
    </w:lvl>
    <w:lvl w:ilvl="4" w:tplc="D30E3D52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E74250D2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4"/>
        <w:vertAlign w:val="baseline"/>
      </w:rPr>
    </w:lvl>
    <w:lvl w:ilvl="6" w:tplc="04766D16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4"/>
        <w:vertAlign w:val="baseline"/>
      </w:rPr>
    </w:lvl>
    <w:lvl w:ilvl="7" w:tplc="649C092A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E5488174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4"/>
        <w:vertAlign w:val="baseline"/>
      </w:rPr>
    </w:lvl>
  </w:abstractNum>
  <w:abstractNum w:abstractNumId="3" w15:restartNumberingAfterBreak="0">
    <w:nsid w:val="317345AD"/>
    <w:multiLevelType w:val="hybridMultilevel"/>
    <w:tmpl w:val="6DE0B7B0"/>
    <w:lvl w:ilvl="0" w:tplc="83E0B44E">
      <w:start w:val="1"/>
      <w:numFmt w:val="bullet"/>
      <w:lvlText w:val=""/>
      <w:lvlJc w:val="left"/>
      <w:pPr>
        <w:ind w:left="720" w:hanging="360"/>
      </w:pPr>
      <w:rPr>
        <w:rFonts w:cs="Symbol"/>
        <w:color w:val="767171"/>
        <w:sz w:val="20"/>
        <w:szCs w:val="20"/>
        <w:lang w:eastAsia="ru-RU"/>
      </w:rPr>
    </w:lvl>
    <w:lvl w:ilvl="1" w:tplc="860A9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0E1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5A13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08C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3CD5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2ECC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00A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040C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5CA46A7"/>
    <w:multiLevelType w:val="hybridMultilevel"/>
    <w:tmpl w:val="9500CEC2"/>
    <w:lvl w:ilvl="0" w:tplc="764E0B06">
      <w:start w:val="1"/>
      <w:numFmt w:val="bullet"/>
      <w:lvlText w:val="−"/>
      <w:lvlJc w:val="left"/>
      <w:pPr>
        <w:ind w:left="7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1" w:tplc="4748FB9C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354A600">
      <w:start w:val="1"/>
      <w:numFmt w:val="bullet"/>
      <w:lvlText w:val="▪"/>
      <w:lvlJc w:val="left"/>
      <w:pPr>
        <w:ind w:left="216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3" w:tplc="E7809DF4">
      <w:start w:val="1"/>
      <w:numFmt w:val="bullet"/>
      <w:lvlText w:val="●"/>
      <w:lvlJc w:val="left"/>
      <w:pPr>
        <w:ind w:left="28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4" w:tplc="3A229722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52EFDE8">
      <w:start w:val="1"/>
      <w:numFmt w:val="bullet"/>
      <w:lvlText w:val="▪"/>
      <w:lvlJc w:val="left"/>
      <w:pPr>
        <w:ind w:left="43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6" w:tplc="303AB17A">
      <w:start w:val="1"/>
      <w:numFmt w:val="bullet"/>
      <w:lvlText w:val="●"/>
      <w:lvlJc w:val="left"/>
      <w:pPr>
        <w:ind w:left="504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7" w:tplc="26D89E20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CB864B6A">
      <w:start w:val="1"/>
      <w:numFmt w:val="bullet"/>
      <w:lvlText w:val="▪"/>
      <w:lvlJc w:val="left"/>
      <w:pPr>
        <w:ind w:left="64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</w:abstractNum>
  <w:abstractNum w:abstractNumId="5" w15:restartNumberingAfterBreak="0">
    <w:nsid w:val="44A1126B"/>
    <w:multiLevelType w:val="hybridMultilevel"/>
    <w:tmpl w:val="7FC63650"/>
    <w:lvl w:ilvl="0" w:tplc="F992E278">
      <w:start w:val="1"/>
      <w:numFmt w:val="decimal"/>
      <w:lvlText w:val="%1."/>
      <w:lvlJc w:val="left"/>
      <w:pPr>
        <w:ind w:left="1068" w:hanging="708"/>
      </w:pPr>
      <w:rPr>
        <w:b/>
        <w:sz w:val="28"/>
        <w:szCs w:val="28"/>
      </w:rPr>
    </w:lvl>
    <w:lvl w:ilvl="1" w:tplc="BAC6F0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C87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4224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ACFB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526E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8C9E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ECC2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7A4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A0B2F22"/>
    <w:multiLevelType w:val="hybridMultilevel"/>
    <w:tmpl w:val="ADFE6110"/>
    <w:lvl w:ilvl="0" w:tplc="24401ADA">
      <w:start w:val="1"/>
      <w:numFmt w:val="bullet"/>
      <w:lvlText w:val=""/>
      <w:lvlJc w:val="left"/>
      <w:pPr>
        <w:ind w:left="720" w:hanging="360"/>
      </w:pPr>
      <w:rPr>
        <w:rFonts w:cs="Symbol"/>
        <w:color w:val="000000"/>
        <w:sz w:val="20"/>
        <w:szCs w:val="20"/>
      </w:rPr>
    </w:lvl>
    <w:lvl w:ilvl="1" w:tplc="6074B1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2674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3690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E67C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B663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EC45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D26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609C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86E0D6F"/>
    <w:multiLevelType w:val="hybridMultilevel"/>
    <w:tmpl w:val="0204B24C"/>
    <w:lvl w:ilvl="0" w:tplc="8016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 w:tplc="55F28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A3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4D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EA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E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ED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C9A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26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9174B"/>
    <w:multiLevelType w:val="hybridMultilevel"/>
    <w:tmpl w:val="A24E141C"/>
    <w:lvl w:ilvl="0" w:tplc="F50678AE">
      <w:start w:val="1"/>
      <w:numFmt w:val="bullet"/>
      <w:lvlText w:val="−"/>
      <w:lvlJc w:val="left"/>
      <w:pPr>
        <w:ind w:left="284" w:hanging="284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1" w:tplc="21A0834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0141466">
      <w:start w:val="1"/>
      <w:numFmt w:val="bullet"/>
      <w:lvlText w:val="▪"/>
      <w:lvlJc w:val="left"/>
      <w:pPr>
        <w:ind w:left="216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3" w:tplc="C9FAFEF4">
      <w:start w:val="1"/>
      <w:numFmt w:val="bullet"/>
      <w:lvlText w:val="●"/>
      <w:lvlJc w:val="left"/>
      <w:pPr>
        <w:ind w:left="28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4" w:tplc="600E7FBA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1E4CFC8">
      <w:start w:val="1"/>
      <w:numFmt w:val="bullet"/>
      <w:lvlText w:val="▪"/>
      <w:lvlJc w:val="left"/>
      <w:pPr>
        <w:ind w:left="43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6" w:tplc="AFA025CE">
      <w:start w:val="1"/>
      <w:numFmt w:val="bullet"/>
      <w:lvlText w:val="●"/>
      <w:lvlJc w:val="left"/>
      <w:pPr>
        <w:ind w:left="504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7" w:tplc="D49019FE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9E2C9A3A">
      <w:start w:val="1"/>
      <w:numFmt w:val="bullet"/>
      <w:lvlText w:val="▪"/>
      <w:lvlJc w:val="left"/>
      <w:pPr>
        <w:ind w:left="64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E0"/>
    <w:rsid w:val="00286603"/>
    <w:rsid w:val="009F0ED4"/>
    <w:rsid w:val="00D944F8"/>
    <w:rsid w:val="00DA07E0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12BE"/>
  <w15:docId w15:val="{FAB30466-0314-43A4-ADC4-8FDFDB84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color w:val="000000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4z1">
    <w:name w:val="WW8Num4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5z0">
    <w:name w:val="WW8Num5z0"/>
    <w:qFormat/>
    <w:rPr>
      <w:rFonts w:ascii="noto sans symbols;calibri" w:eastAsia="noto sans symbols;calibri" w:hAnsi="noto sans symbols;calibri" w:cs="noto sans symbols;calibri"/>
      <w:color w:val="000000"/>
      <w:position w:val="0"/>
      <w:sz w:val="20"/>
      <w:szCs w:val="20"/>
      <w:vertAlign w:val="baseline"/>
      <w:lang w:eastAsia="ru-RU"/>
    </w:rPr>
  </w:style>
  <w:style w:type="character" w:customStyle="1" w:styleId="WW8Num5z1">
    <w:name w:val="WW8Num5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6z0">
    <w:name w:val="WW8Num6z0"/>
    <w:qFormat/>
    <w:rPr>
      <w:b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noto sans symbols;calibri" w:eastAsia="noto sans symbols;calibri" w:hAnsi="noto sans symbols;calibri" w:cs="noto sans symbols;calibri"/>
      <w:color w:val="808080"/>
      <w:position w:val="0"/>
      <w:sz w:val="16"/>
      <w:szCs w:val="16"/>
      <w:vertAlign w:val="baseline"/>
      <w:lang w:eastAsia="ru-RU"/>
    </w:rPr>
  </w:style>
  <w:style w:type="character" w:customStyle="1" w:styleId="WW8Num7z1">
    <w:name w:val="WW8Num7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7z2">
    <w:name w:val="WW8Num7z2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8z0">
    <w:name w:val="WW8Num8z0"/>
    <w:qFormat/>
    <w:rPr>
      <w:rFonts w:ascii="noto sans symbols;calibri" w:eastAsia="noto sans symbols;calibri" w:hAnsi="noto sans symbols;calibri" w:cs="noto sans symbols;calibri"/>
      <w:position w:val="0"/>
      <w:sz w:val="20"/>
      <w:szCs w:val="20"/>
      <w:vertAlign w:val="baseline"/>
    </w:rPr>
  </w:style>
  <w:style w:type="character" w:customStyle="1" w:styleId="WW8Num8z1">
    <w:name w:val="WW8Num8z1"/>
    <w:qFormat/>
    <w:rPr>
      <w:position w:val="0"/>
      <w:sz w:val="24"/>
      <w:vertAlign w:val="baseline"/>
    </w:rPr>
  </w:style>
  <w:style w:type="character" w:customStyle="1" w:styleId="WW8Num9z0">
    <w:name w:val="WW8Num9z0"/>
    <w:qFormat/>
    <w:rPr>
      <w:rFonts w:ascii="Times New Roman" w:hAnsi="Times New Roman" w:cs="Times New Roman"/>
      <w:i/>
      <w:sz w:val="20"/>
      <w:szCs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Times New Roman" w:hAnsi="Symbol" w:cs="Symbol"/>
      <w:color w:val="808080"/>
      <w:sz w:val="20"/>
      <w:szCs w:val="20"/>
      <w:lang w:eastAsia="ru-RU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eastAsia="Times New Roman" w:hAnsi="Symbol" w:cs="Symbol"/>
      <w:color w:val="767171"/>
      <w:sz w:val="20"/>
      <w:szCs w:val="20"/>
      <w:lang w:eastAsia="ru-RU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b/>
      <w:i w:val="0"/>
      <w:position w:val="0"/>
      <w:sz w:val="28"/>
      <w:szCs w:val="28"/>
      <w:vertAlign w:val="baseline"/>
    </w:rPr>
  </w:style>
  <w:style w:type="character" w:customStyle="1" w:styleId="WW8Num12z1">
    <w:name w:val="WW8Num12z1"/>
    <w:qFormat/>
    <w:rPr>
      <w:b/>
      <w:position w:val="0"/>
      <w:sz w:val="24"/>
      <w:vertAlign w:val="baseline"/>
    </w:rPr>
  </w:style>
  <w:style w:type="character" w:customStyle="1" w:styleId="WW8Num12z2">
    <w:name w:val="WW8Num12z2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noto sans symbols;calibri" w:eastAsia="noto sans symbols;calibri" w:hAnsi="noto sans symbols;calibri" w:cs="noto sans symbols;calibri"/>
      <w:color w:val="000000"/>
      <w:position w:val="0"/>
      <w:sz w:val="20"/>
      <w:szCs w:val="20"/>
      <w:vertAlign w:val="baseline"/>
      <w:lang w:eastAsia="ru-RU"/>
    </w:rPr>
  </w:style>
  <w:style w:type="character" w:customStyle="1" w:styleId="WW8Num13z1">
    <w:name w:val="WW8Num13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примечания Знак"/>
    <w:qFormat/>
  </w:style>
  <w:style w:type="character" w:customStyle="1" w:styleId="afb">
    <w:name w:val="Тема примечания Знак"/>
    <w:qFormat/>
    <w:rPr>
      <w:b/>
      <w:bCs/>
    </w:rPr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docdata">
    <w:name w:val="docdata"/>
    <w:qFormat/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aff0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annotation text"/>
    <w:basedOn w:val="a"/>
    <w:qFormat/>
    <w:rPr>
      <w:sz w:val="20"/>
      <w:szCs w:val="20"/>
      <w:lang w:val="en-US"/>
    </w:rPr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min.gov74.ru/prav/chelyabinskaya-oblast/administrativnoe-delenie/karabash.htm" TargetMode="External"/><Relationship Id="rId21" Type="http://schemas.openxmlformats.org/officeDocument/2006/relationships/hyperlink" Target="https://pravmin.gov74.ru/prav/chelyabinskaya-oblast/administrativnoe-delenie/verhneuralskiy_rayon.htm" TargetMode="External"/><Relationship Id="rId34" Type="http://schemas.openxmlformats.org/officeDocument/2006/relationships/hyperlink" Target="https://pravmin.gov74.ru/prav/chelyabinskaya-oblast/administrativnoe-delenie/kunashakskiy_rayon.htm" TargetMode="External"/><Relationship Id="rId42" Type="http://schemas.openxmlformats.org/officeDocument/2006/relationships/hyperlink" Target="https://pravmin.gov74.ru/prav/chelyabinskaya-oblast/administrativnoe-delenie/ozerskiy-gorodskoy-okrug.htm" TargetMode="External"/><Relationship Id="rId47" Type="http://schemas.openxmlformats.org/officeDocument/2006/relationships/hyperlink" Target="https://pravmin.gov74.ru/prav/chelyabinskaya-oblast/administrativnoe-delenie/sosnovskiy_rayon.htm" TargetMode="External"/><Relationship Id="rId50" Type="http://schemas.openxmlformats.org/officeDocument/2006/relationships/hyperlink" Target="https://pravmin.gov74.ru/prav/chelyabinskaya-oblast/administrativnoe-delenie/troickii_rayon.htm" TargetMode="External"/><Relationship Id="rId55" Type="http://schemas.openxmlformats.org/officeDocument/2006/relationships/hyperlink" Target="https://pravmin.gov74.ru/prav/chelyabinskaya-oblast/administrativnoe-delenie/chebarkulskiy_rayon.htm" TargetMode="External"/><Relationship Id="rId63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avmin.gov74.ru/prav/chelyabinskaya-oblast/administrativnoe-delenie/agapovskiy_rayon.htm" TargetMode="External"/><Relationship Id="rId29" Type="http://schemas.openxmlformats.org/officeDocument/2006/relationships/hyperlink" Target="https://pravmin.gov74.ru/prav/chelyabinskaya-oblast/administrativnoe-delenie/katav-ivanovskiy_rayon.htm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pravmin.gov74.ru/prav/chelyabinskaya-oblast/administrativnoe-delenie/etkulskiy_rayon.htm" TargetMode="External"/><Relationship Id="rId32" Type="http://schemas.openxmlformats.org/officeDocument/2006/relationships/hyperlink" Target="https://pravmin.gov74.ru/prav/chelyabinskaya-oblast/administrativnoe-delenie/korkinskiy_rayon.htm" TargetMode="External"/><Relationship Id="rId37" Type="http://schemas.openxmlformats.org/officeDocument/2006/relationships/hyperlink" Target="https://pravmin.gov74.ru/prav/chelyabinskaya-oblast/administrativnoe-delenie/lokomotivnyy-gorodskoy-okrug.htm" TargetMode="External"/><Relationship Id="rId40" Type="http://schemas.openxmlformats.org/officeDocument/2006/relationships/hyperlink" Target="https://pravmin.gov74.ru/prav/chelyabinskaya-oblast/administrativnoe-delenie/nagaybakskiy_rayon.htm" TargetMode="External"/><Relationship Id="rId45" Type="http://schemas.openxmlformats.org/officeDocument/2006/relationships/hyperlink" Target="https://pravmin.gov74.ru/prav/chelyabinskaya-oblast/administrativnoe-delenie/satkinskiy_rayon.htm" TargetMode="External"/><Relationship Id="rId53" Type="http://schemas.openxmlformats.org/officeDocument/2006/relationships/hyperlink" Target="https://pravmin.gov74.ru/prav/chelyabinskaya-oblast/administrativnoe-delenie/uyskiy-municipalnyy-rayon.htm" TargetMode="External"/><Relationship Id="rId58" Type="http://schemas.openxmlformats.org/officeDocument/2006/relationships/hyperlink" Target="https://pravmin.gov74.ru/prav/chelyabinskaya-oblast/administrativnoe-delenie/yuzhnouralskiy-gorodskoy-okrug.ht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about:blank" TargetMode="External"/><Relationship Id="rId19" Type="http://schemas.openxmlformats.org/officeDocument/2006/relationships/hyperlink" Target="https://pravmin.gov74.ru/prav/chelyabinskaya-oblast/administrativnoe-delenie/bredinskiy_rayon.htm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pravmin.gov74.ru/prav/chelyabinskaya-oblast/administrativnoe-delenie/verhneufaleyskiy-gorodskoy-okrug.htm" TargetMode="External"/><Relationship Id="rId27" Type="http://schemas.openxmlformats.org/officeDocument/2006/relationships/hyperlink" Target="https://pravmin.gov74.ru/prav/chelyabinskaya-oblast/administrativnoe-delenie/kartalinskiy_rayon.htm" TargetMode="External"/><Relationship Id="rId30" Type="http://schemas.openxmlformats.org/officeDocument/2006/relationships/hyperlink" Target="https://pravmin.gov74.ru/prav/chelyabinskaya-oblast/administrativnoe-delenie/kizilskiy_rayon.htm" TargetMode="External"/><Relationship Id="rId35" Type="http://schemas.openxmlformats.org/officeDocument/2006/relationships/hyperlink" Target="https://pravmin.gov74.ru/prav/chelyabinskaya-oblast/administrativnoe-delenie/kusinskiy_rayon.htm" TargetMode="External"/><Relationship Id="rId43" Type="http://schemas.openxmlformats.org/officeDocument/2006/relationships/hyperlink" Target="https://pravmin.gov74.ru/prav/chelyabinskaya-oblast/administrativnoe-delenie/oktyabrskiy_rayon.htm" TargetMode="External"/><Relationship Id="rId48" Type="http://schemas.openxmlformats.org/officeDocument/2006/relationships/hyperlink" Target="https://pravmin.gov74.ru/prav/chelyabinskaya-oblast/administrativnoe-delenie/trehgornyy-gorodskoy-okrug.htm" TargetMode="External"/><Relationship Id="rId56" Type="http://schemas.openxmlformats.org/officeDocument/2006/relationships/hyperlink" Target="https://pravmin.gov74.ru/prav/chelyabinskaya-oblast/administrativnoe-delenie/chelyabinskiy-gorodskoy-okrug.htm" TargetMode="External"/><Relationship Id="rId64" Type="http://schemas.openxmlformats.org/officeDocument/2006/relationships/header" Target="header1.xml"/><Relationship Id="rId8" Type="http://schemas.openxmlformats.org/officeDocument/2006/relationships/hyperlink" Target="about:blank" TargetMode="External"/><Relationship Id="rId51" Type="http://schemas.openxmlformats.org/officeDocument/2006/relationships/hyperlink" Target="https://pravmin.gov74.ru/prav/chelyabinskaya-oblast/administrativnoe-delenie/ust-katavskiy-gorodskoy-okrug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ozidateli.ru/" TargetMode="External"/><Relationship Id="rId17" Type="http://schemas.openxmlformats.org/officeDocument/2006/relationships/hyperlink" Target="https://pravmin.gov74.ru/prav/chelyabinskaya-oblast/administrativnoe-delenie/argayashskiy_rayon.htm" TargetMode="External"/><Relationship Id="rId25" Type="http://schemas.openxmlformats.org/officeDocument/2006/relationships/hyperlink" Target="https://pravmin.gov74.ru/prav/chelyabinskaya-oblast/administrativnoe-delenie/zlatoust.htm" TargetMode="External"/><Relationship Id="rId33" Type="http://schemas.openxmlformats.org/officeDocument/2006/relationships/hyperlink" Target="https://pravmin.gov74.ru/prav/chelyabinskaya-oblast/administrativnoe-delenie/krasnoarmeyskiy_rayon.htm" TargetMode="External"/><Relationship Id="rId38" Type="http://schemas.openxmlformats.org/officeDocument/2006/relationships/hyperlink" Target="https://pravmin.gov74.ru/prav/chelyabinskaya-oblast/administrativnoe-delenie/magnitogorsk.htm" TargetMode="External"/><Relationship Id="rId46" Type="http://schemas.openxmlformats.org/officeDocument/2006/relationships/hyperlink" Target="https://pravmin.gov74.ru/prav/chelyabinskaya-oblast/administrativnoe-delenie/snezhinskiy-gorodskoy-okrug.htm" TargetMode="External"/><Relationship Id="rId59" Type="http://schemas.openxmlformats.org/officeDocument/2006/relationships/hyperlink" Target="about:blank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pravmin.gov74.ru/prav/chelyabinskaya-oblast/administrativnoe-delenie/varnenskiy_rayon.htm" TargetMode="External"/><Relationship Id="rId41" Type="http://schemas.openxmlformats.org/officeDocument/2006/relationships/hyperlink" Target="https://pravmin.gov74.ru/prav/chelyabinskaya-oblast/administrativnoe-delenie/nyazepetrovskiy-municipalnyy-rayon.htm" TargetMode="External"/><Relationship Id="rId54" Type="http://schemas.openxmlformats.org/officeDocument/2006/relationships/hyperlink" Target="https://pravmin.gov74.ru/prav/chelyabinskaya-oblast/administrativnoe-delenie/chebarkulskiy-gorodskoy-okrug.htm" TargetMode="External"/><Relationship Id="rId62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pravmin.gov74.ru/prav/chelyabinskaya-oblast/administrativnoe-delenie/emenzhelinskiy_rayon.htm" TargetMode="External"/><Relationship Id="rId28" Type="http://schemas.openxmlformats.org/officeDocument/2006/relationships/hyperlink" Target="https://pravmin.gov74.ru/prav/chelyabinskaya-oblast/administrativnoe-delenie/kaslinskiy_rayon.htm" TargetMode="External"/><Relationship Id="rId36" Type="http://schemas.openxmlformats.org/officeDocument/2006/relationships/hyperlink" Target="https://pravmin.gov74.ru/prav/chelyabinskaya-oblast/administrativnoe-delenie/kyshtymskiy-gorodskoy-okrug.htm" TargetMode="External"/><Relationship Id="rId49" Type="http://schemas.openxmlformats.org/officeDocument/2006/relationships/hyperlink" Target="https://pravmin.gov74.ru/prav/chelyabinskaya-oblast/administrativnoe-delenie/troickiy-gorodskoy-okrug.htm" TargetMode="External"/><Relationship Id="rId57" Type="http://schemas.openxmlformats.org/officeDocument/2006/relationships/hyperlink" Target="https://pravmin.gov74.ru/prav/chelyabinskaya-oblast/administrativnoe-delenie/chesmenskiy_rayon.htm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https://pravmin.gov74.ru/prav/chelyabinskaya-oblast/administrativnoe-delenie/kopeyskiy-gorodskoy-okrug.htm" TargetMode="External"/><Relationship Id="rId44" Type="http://schemas.openxmlformats.org/officeDocument/2006/relationships/hyperlink" Target="https://pravmin.gov74.ru/prav/chelyabinskaya-oblast/administrativnoe-delenie/plastovskiy_rayon.htm" TargetMode="External"/><Relationship Id="rId52" Type="http://schemas.openxmlformats.org/officeDocument/2006/relationships/hyperlink" Target="https://pravmin.gov74.ru/prav/chelyabinskaya-oblast/administrativnoe-delenie/uvelskiy_rayon.htm" TargetMode="External"/><Relationship Id="rId60" Type="http://schemas.openxmlformats.org/officeDocument/2006/relationships/hyperlink" Target="about:blank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https://www.sozidateli.ru/" TargetMode="External"/><Relationship Id="rId18" Type="http://schemas.openxmlformats.org/officeDocument/2006/relationships/hyperlink" Target="https://pravmin.gov74.ru/prav/chelyabinskaya-oblast/administrativnoe-delenie/ashinskiy_rayon.htm" TargetMode="External"/><Relationship Id="rId39" Type="http://schemas.openxmlformats.org/officeDocument/2006/relationships/hyperlink" Target="https://pravmin.gov74.ru/prav/chelyabinskaya-oblast/administrativnoe-delenie/miasskiy-gorodskoy-okrug.ht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8317</Words>
  <Characters>47411</Characters>
  <Application>Microsoft Office Word</Application>
  <DocSecurity>0</DocSecurity>
  <Lines>395</Lines>
  <Paragraphs>111</Paragraphs>
  <ScaleCrop>false</ScaleCrop>
  <Company/>
  <LinksUpToDate>false</LinksUpToDate>
  <CharactersWithSpaces>55617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Агеева</dc:creator>
  <cp:keywords/>
  <dc:description/>
  <cp:lastModifiedBy>Пользователь</cp:lastModifiedBy>
  <cp:revision>2</cp:revision>
  <dcterms:created xsi:type="dcterms:W3CDTF">2021-10-19T04:44:00Z</dcterms:created>
  <dcterms:modified xsi:type="dcterms:W3CDTF">2021-10-19T04:44:00Z</dcterms:modified>
  <dc:language>en-US</dc:language>
</cp:coreProperties>
</file>